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010E8" w14:textId="0F27FA9E" w:rsidR="000030ED" w:rsidRDefault="000030ED" w:rsidP="000030ED">
      <w:pPr>
        <w:jc w:val="center"/>
        <w:rPr>
          <w:rFonts w:ascii="Arial" w:hAnsi="Arial" w:cs="Arial"/>
          <w:b/>
        </w:rPr>
      </w:pPr>
      <w:r>
        <w:rPr>
          <w:rFonts w:ascii="Arial" w:hAnsi="Arial" w:cs="Arial"/>
          <w:b/>
        </w:rPr>
        <w:t>Guidance</w:t>
      </w:r>
      <w:r w:rsidR="00260234">
        <w:rPr>
          <w:rFonts w:ascii="Arial" w:hAnsi="Arial" w:cs="Arial"/>
          <w:b/>
        </w:rPr>
        <w:t>:</w:t>
      </w:r>
      <w:r>
        <w:rPr>
          <w:rFonts w:ascii="Arial" w:hAnsi="Arial" w:cs="Arial"/>
          <w:b/>
        </w:rPr>
        <w:t xml:space="preserve"> C</w:t>
      </w:r>
      <w:r w:rsidR="00AF2F7C">
        <w:rPr>
          <w:rFonts w:ascii="Arial" w:hAnsi="Arial" w:cs="Arial"/>
          <w:b/>
        </w:rPr>
        <w:t xml:space="preserve">oronavirus </w:t>
      </w:r>
      <w:r>
        <w:rPr>
          <w:rFonts w:ascii="Arial" w:hAnsi="Arial" w:cs="Arial"/>
          <w:b/>
        </w:rPr>
        <w:t>V</w:t>
      </w:r>
      <w:r w:rsidR="00AF2F7C">
        <w:rPr>
          <w:rFonts w:ascii="Arial" w:hAnsi="Arial" w:cs="Arial"/>
          <w:b/>
        </w:rPr>
        <w:t xml:space="preserve">accination </w:t>
      </w:r>
      <w:r>
        <w:rPr>
          <w:rFonts w:ascii="Arial" w:hAnsi="Arial" w:cs="Arial"/>
          <w:b/>
        </w:rPr>
        <w:t>P</w:t>
      </w:r>
      <w:r w:rsidR="00AF2F7C">
        <w:rPr>
          <w:rFonts w:ascii="Arial" w:hAnsi="Arial" w:cs="Arial"/>
          <w:b/>
        </w:rPr>
        <w:t xml:space="preserve">rogramme (CVP) </w:t>
      </w:r>
      <w:r>
        <w:rPr>
          <w:rFonts w:ascii="Arial" w:hAnsi="Arial" w:cs="Arial"/>
          <w:b/>
        </w:rPr>
        <w:t>Collaboration Agreement</w:t>
      </w:r>
    </w:p>
    <w:p w14:paraId="3C58D726" w14:textId="3742AAB1" w:rsidR="00A81650" w:rsidRDefault="00A81650" w:rsidP="00A81650">
      <w:pPr>
        <w:rPr>
          <w:rFonts w:ascii="Arial" w:hAnsi="Arial" w:cs="Arial"/>
          <w:bCs/>
        </w:rPr>
      </w:pPr>
    </w:p>
    <w:p w14:paraId="6DA3E98B" w14:textId="34DECD03" w:rsidR="000030ED" w:rsidRDefault="005D0DC7" w:rsidP="00A81650">
      <w:pPr>
        <w:widowControl/>
        <w:autoSpaceDE/>
        <w:autoSpaceDN/>
        <w:adjustRightInd/>
        <w:spacing w:after="160" w:line="259" w:lineRule="auto"/>
        <w:rPr>
          <w:rFonts w:ascii="Arial" w:hAnsi="Arial" w:cs="Arial"/>
          <w:b/>
          <w:bCs/>
        </w:rPr>
      </w:pPr>
      <w:r>
        <w:rPr>
          <w:rFonts w:ascii="Arial" w:hAnsi="Arial" w:cs="Arial"/>
          <w:b/>
          <w:bCs/>
        </w:rPr>
        <w:t xml:space="preserve">Amendable </w:t>
      </w:r>
      <w:r w:rsidR="000030ED" w:rsidRPr="00AF0074">
        <w:rPr>
          <w:rFonts w:ascii="Arial" w:hAnsi="Arial" w:cs="Arial"/>
          <w:b/>
          <w:bCs/>
        </w:rPr>
        <w:t xml:space="preserve">Data </w:t>
      </w:r>
      <w:r>
        <w:rPr>
          <w:rFonts w:ascii="Arial" w:hAnsi="Arial" w:cs="Arial"/>
          <w:b/>
          <w:bCs/>
        </w:rPr>
        <w:t>S</w:t>
      </w:r>
      <w:r w:rsidR="000030ED" w:rsidRPr="00AF0074">
        <w:rPr>
          <w:rFonts w:ascii="Arial" w:hAnsi="Arial" w:cs="Arial"/>
          <w:b/>
          <w:bCs/>
        </w:rPr>
        <w:t xml:space="preserve">haring </w:t>
      </w:r>
      <w:r>
        <w:rPr>
          <w:rFonts w:ascii="Arial" w:hAnsi="Arial" w:cs="Arial"/>
          <w:b/>
          <w:bCs/>
        </w:rPr>
        <w:t>A</w:t>
      </w:r>
      <w:r w:rsidR="00260234" w:rsidRPr="00AF0074">
        <w:rPr>
          <w:rFonts w:ascii="Arial" w:hAnsi="Arial" w:cs="Arial"/>
          <w:b/>
          <w:bCs/>
        </w:rPr>
        <w:t>greement</w:t>
      </w:r>
      <w:r w:rsidR="00260234">
        <w:rPr>
          <w:rFonts w:ascii="Arial" w:hAnsi="Arial" w:cs="Arial"/>
          <w:b/>
          <w:bCs/>
        </w:rPr>
        <w:t xml:space="preserve"> </w:t>
      </w:r>
      <w:r w:rsidR="005403C8">
        <w:rPr>
          <w:rFonts w:ascii="Arial" w:hAnsi="Arial" w:cs="Arial"/>
          <w:b/>
          <w:bCs/>
        </w:rPr>
        <w:t>(</w:t>
      </w:r>
      <w:r w:rsidR="005403C8" w:rsidRPr="00AF0074">
        <w:rPr>
          <w:rFonts w:ascii="Arial" w:hAnsi="Arial" w:cs="Arial"/>
          <w:b/>
          <w:bCs/>
        </w:rPr>
        <w:t>Annex 1</w:t>
      </w:r>
      <w:r w:rsidR="005403C8">
        <w:rPr>
          <w:rFonts w:ascii="Arial" w:hAnsi="Arial" w:cs="Arial"/>
          <w:b/>
          <w:bCs/>
        </w:rPr>
        <w:t>)</w:t>
      </w:r>
      <w:r w:rsidRPr="005D0DC7">
        <w:rPr>
          <w:rFonts w:ascii="Arial" w:hAnsi="Arial" w:cs="Arial"/>
        </w:rPr>
        <w:t xml:space="preserve"> </w:t>
      </w:r>
    </w:p>
    <w:p w14:paraId="62F44B85" w14:textId="77777777" w:rsidR="00A81650" w:rsidRPr="00FA7CAE" w:rsidRDefault="00A81650" w:rsidP="00FA7CAE">
      <w:pPr>
        <w:widowControl/>
        <w:autoSpaceDE/>
        <w:autoSpaceDN/>
        <w:adjustRightInd/>
        <w:spacing w:after="160" w:line="259" w:lineRule="auto"/>
        <w:rPr>
          <w:rFonts w:asciiTheme="minorHAnsi" w:hAnsiTheme="minorHAnsi" w:cstheme="minorHAnsi"/>
        </w:rPr>
      </w:pPr>
      <w:r w:rsidRPr="00FA7CAE">
        <w:rPr>
          <w:rFonts w:asciiTheme="minorHAnsi" w:eastAsia="Times New Roman" w:hAnsiTheme="minorHAnsi" w:cstheme="minorHAnsi"/>
          <w:bCs/>
        </w:rPr>
        <w:t xml:space="preserve">Until 31 March 2021, the legal basis for sharing patient confidential information in connection with this Collaboration Agreement is the </w:t>
      </w:r>
      <w:hyperlink r:id="rId6" w:history="1">
        <w:r w:rsidRPr="00FA7CAE">
          <w:rPr>
            <w:rStyle w:val="Hyperlink"/>
            <w:rFonts w:asciiTheme="minorHAnsi" w:hAnsiTheme="minorHAnsi" w:cstheme="minorHAnsi"/>
          </w:rPr>
          <w:t>Coronavirus (COVID-19): notice under regulation 3(4) of the Health Service (Control of Patient Information) Regulations 2002 – issued on 29/07/2020</w:t>
        </w:r>
      </w:hyperlink>
      <w:r w:rsidRPr="00FA7CAE">
        <w:rPr>
          <w:rFonts w:asciiTheme="minorHAnsi" w:hAnsiTheme="minorHAnsi" w:cstheme="minorHAnsi"/>
        </w:rPr>
        <w:t>.</w:t>
      </w:r>
    </w:p>
    <w:p w14:paraId="441E4EA0" w14:textId="77777777" w:rsidR="00260234" w:rsidRPr="00FA7CAE" w:rsidRDefault="00260234" w:rsidP="00A81650">
      <w:pPr>
        <w:widowControl/>
        <w:autoSpaceDE/>
        <w:autoSpaceDN/>
        <w:adjustRightInd/>
        <w:spacing w:after="160" w:line="259" w:lineRule="auto"/>
        <w:jc w:val="center"/>
        <w:rPr>
          <w:rFonts w:asciiTheme="minorHAnsi" w:hAnsiTheme="minorHAnsi" w:cstheme="minorHAnsi"/>
          <w:b/>
          <w:bCs/>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97"/>
        <w:gridCol w:w="6776"/>
      </w:tblGrid>
      <w:tr w:rsidR="00A81650" w:rsidRPr="00FA7CAE" w14:paraId="391EFB54" w14:textId="77777777" w:rsidTr="00D42D1C">
        <w:tc>
          <w:tcPr>
            <w:tcW w:w="9748" w:type="dxa"/>
            <w:gridSpan w:val="3"/>
          </w:tcPr>
          <w:p w14:paraId="5A5CE736" w14:textId="2D29EC56" w:rsidR="00A81650" w:rsidRPr="00FA7CAE" w:rsidRDefault="00A81650" w:rsidP="00A81650">
            <w:pPr>
              <w:widowControl/>
              <w:numPr>
                <w:ilvl w:val="0"/>
                <w:numId w:val="4"/>
              </w:numPr>
              <w:autoSpaceDE/>
              <w:autoSpaceDN/>
              <w:adjustRightInd/>
              <w:ind w:left="426" w:hanging="426"/>
              <w:jc w:val="both"/>
              <w:rPr>
                <w:rFonts w:asciiTheme="minorHAnsi" w:eastAsia="Times New Roman" w:hAnsiTheme="minorHAnsi" w:cstheme="minorHAnsi"/>
                <w:b/>
              </w:rPr>
            </w:pPr>
            <w:r w:rsidRPr="00FA7CAE">
              <w:rPr>
                <w:rFonts w:asciiTheme="minorHAnsi" w:eastAsia="Times New Roman" w:hAnsiTheme="minorHAnsi" w:cstheme="minorHAnsi"/>
                <w:b/>
              </w:rPr>
              <w:t xml:space="preserve">Legal </w:t>
            </w:r>
            <w:r w:rsidR="00260234" w:rsidRPr="00FA7CAE">
              <w:rPr>
                <w:rFonts w:asciiTheme="minorHAnsi" w:eastAsia="Times New Roman" w:hAnsiTheme="minorHAnsi" w:cstheme="minorHAnsi"/>
                <w:b/>
              </w:rPr>
              <w:t>b</w:t>
            </w:r>
            <w:r w:rsidRPr="00FA7CAE">
              <w:rPr>
                <w:rFonts w:asciiTheme="minorHAnsi" w:eastAsia="Times New Roman" w:hAnsiTheme="minorHAnsi" w:cstheme="minorHAnsi"/>
                <w:b/>
              </w:rPr>
              <w:t>asis for sharing</w:t>
            </w:r>
          </w:p>
        </w:tc>
      </w:tr>
      <w:tr w:rsidR="00A81650" w:rsidRPr="00FA7CAE" w14:paraId="683410AA" w14:textId="77777777" w:rsidTr="00D42D1C">
        <w:tc>
          <w:tcPr>
            <w:tcW w:w="675" w:type="dxa"/>
          </w:tcPr>
          <w:p w14:paraId="749C90E4" w14:textId="77777777" w:rsidR="00A81650" w:rsidRPr="00FA7CAE" w:rsidRDefault="00A81650" w:rsidP="00D42D1C">
            <w:pPr>
              <w:widowControl/>
              <w:autoSpaceDE/>
              <w:autoSpaceDN/>
              <w:adjustRightInd/>
              <w:jc w:val="both"/>
              <w:rPr>
                <w:rFonts w:asciiTheme="minorHAnsi" w:eastAsia="Times New Roman" w:hAnsiTheme="minorHAnsi" w:cstheme="minorHAnsi"/>
                <w:bCs/>
              </w:rPr>
            </w:pPr>
            <w:r w:rsidRPr="00FA7CAE">
              <w:rPr>
                <w:rFonts w:asciiTheme="minorHAnsi" w:eastAsia="Times New Roman" w:hAnsiTheme="minorHAnsi" w:cstheme="minorHAnsi"/>
                <w:bCs/>
              </w:rPr>
              <w:t>1.1</w:t>
            </w:r>
          </w:p>
        </w:tc>
        <w:tc>
          <w:tcPr>
            <w:tcW w:w="2297" w:type="dxa"/>
          </w:tcPr>
          <w:p w14:paraId="356F70B1" w14:textId="77777777" w:rsidR="00A81650" w:rsidRPr="00FA7CAE" w:rsidRDefault="00A81650" w:rsidP="00D42D1C">
            <w:pPr>
              <w:widowControl/>
              <w:autoSpaceDE/>
              <w:autoSpaceDN/>
              <w:adjustRightInd/>
              <w:rPr>
                <w:rFonts w:asciiTheme="minorHAnsi" w:eastAsia="Times New Roman" w:hAnsiTheme="minorHAnsi" w:cstheme="minorHAnsi"/>
                <w:bCs/>
              </w:rPr>
            </w:pPr>
            <w:r w:rsidRPr="00FA7CAE">
              <w:rPr>
                <w:rFonts w:asciiTheme="minorHAnsi" w:eastAsia="Times New Roman" w:hAnsiTheme="minorHAnsi" w:cstheme="minorHAnsi"/>
              </w:rPr>
              <w:t>Legal basis for sharing personal data (such as any information relating to an identified or identifiable natural person)</w:t>
            </w:r>
          </w:p>
        </w:tc>
        <w:tc>
          <w:tcPr>
            <w:tcW w:w="6776" w:type="dxa"/>
          </w:tcPr>
          <w:p w14:paraId="0F430581" w14:textId="3E6DBC8A" w:rsidR="00A81650" w:rsidRPr="00FA7CAE" w:rsidRDefault="00A81650" w:rsidP="00D42D1C">
            <w:pPr>
              <w:widowControl/>
              <w:autoSpaceDE/>
              <w:autoSpaceDN/>
              <w:adjustRightInd/>
              <w:rPr>
                <w:rFonts w:asciiTheme="minorHAnsi" w:eastAsia="Times New Roman" w:hAnsiTheme="minorHAnsi" w:cstheme="minorHAnsi"/>
                <w:bCs/>
              </w:rPr>
            </w:pPr>
            <w:r w:rsidRPr="00FA7CAE">
              <w:rPr>
                <w:rFonts w:asciiTheme="minorHAnsi" w:eastAsia="Times New Roman" w:hAnsiTheme="minorHAnsi" w:cstheme="minorHAnsi"/>
                <w:bCs/>
              </w:rPr>
              <w:t xml:space="preserve">The Data Protection Act 2018 provides in section 8(d) that processing that is necessary for the exercise of statutory functions is a task in the public interest. The COPI notice provides a statutory requirement to share data to assist in managing the pandemic and this covers delivery of vaccination services. This allows the use of GDPR Article 6(1) (e) – Processing is necessary for the performance of a task carried out in the public interest or in the exercise of official authority vested in the Controller. </w:t>
            </w:r>
          </w:p>
          <w:p w14:paraId="1936D91E" w14:textId="77777777" w:rsidR="00A81650" w:rsidRPr="00FA7CAE" w:rsidRDefault="00A81650" w:rsidP="00D42D1C">
            <w:pPr>
              <w:widowControl/>
              <w:autoSpaceDE/>
              <w:autoSpaceDN/>
              <w:adjustRightInd/>
              <w:rPr>
                <w:rFonts w:asciiTheme="minorHAnsi" w:eastAsia="Times New Roman" w:hAnsiTheme="minorHAnsi" w:cstheme="minorHAnsi"/>
                <w:bCs/>
              </w:rPr>
            </w:pPr>
          </w:p>
        </w:tc>
      </w:tr>
      <w:tr w:rsidR="00A81650" w:rsidRPr="00FA7CAE" w14:paraId="005D03CD" w14:textId="77777777" w:rsidTr="00D42D1C">
        <w:tc>
          <w:tcPr>
            <w:tcW w:w="675" w:type="dxa"/>
          </w:tcPr>
          <w:p w14:paraId="30702F83" w14:textId="77777777" w:rsidR="00A81650" w:rsidRPr="00FA7CAE" w:rsidRDefault="00A81650" w:rsidP="00D42D1C">
            <w:pPr>
              <w:widowControl/>
              <w:autoSpaceDE/>
              <w:autoSpaceDN/>
              <w:adjustRightInd/>
              <w:jc w:val="both"/>
              <w:rPr>
                <w:rFonts w:asciiTheme="minorHAnsi" w:eastAsia="Times New Roman" w:hAnsiTheme="minorHAnsi" w:cstheme="minorHAnsi"/>
                <w:bCs/>
              </w:rPr>
            </w:pPr>
            <w:r w:rsidRPr="00FA7CAE">
              <w:rPr>
                <w:rFonts w:asciiTheme="minorHAnsi" w:eastAsia="Times New Roman" w:hAnsiTheme="minorHAnsi" w:cstheme="minorHAnsi"/>
                <w:bCs/>
              </w:rPr>
              <w:t>1.2</w:t>
            </w:r>
          </w:p>
        </w:tc>
        <w:tc>
          <w:tcPr>
            <w:tcW w:w="2297" w:type="dxa"/>
          </w:tcPr>
          <w:p w14:paraId="5ADB81B1" w14:textId="3CB22561" w:rsidR="00A81650" w:rsidRPr="00FA7CAE" w:rsidRDefault="00A81650" w:rsidP="00D42D1C">
            <w:pPr>
              <w:widowControl/>
              <w:autoSpaceDE/>
              <w:autoSpaceDN/>
              <w:adjustRightInd/>
              <w:rPr>
                <w:rFonts w:asciiTheme="minorHAnsi" w:eastAsia="Times New Roman" w:hAnsiTheme="minorHAnsi" w:cstheme="minorHAnsi"/>
              </w:rPr>
            </w:pPr>
            <w:r w:rsidRPr="00FA7CAE">
              <w:rPr>
                <w:rFonts w:asciiTheme="minorHAnsi" w:eastAsia="Times New Roman" w:hAnsiTheme="minorHAnsi" w:cstheme="minorHAnsi"/>
              </w:rPr>
              <w:t xml:space="preserve">Legal basis for sharing </w:t>
            </w:r>
            <w:r w:rsidRPr="00FA7CAE">
              <w:rPr>
                <w:rFonts w:asciiTheme="minorHAnsi" w:eastAsia="Times New Roman" w:hAnsiTheme="minorHAnsi" w:cstheme="minorHAnsi"/>
                <w:b/>
                <w:i/>
              </w:rPr>
              <w:t xml:space="preserve">special category </w:t>
            </w:r>
            <w:r w:rsidRPr="00FA7CAE">
              <w:rPr>
                <w:rFonts w:asciiTheme="minorHAnsi" w:eastAsia="Times New Roman" w:hAnsiTheme="minorHAnsi" w:cstheme="minorHAnsi"/>
              </w:rPr>
              <w:t>personal data (</w:t>
            </w:r>
            <w:proofErr w:type="spellStart"/>
            <w:proofErr w:type="gramStart"/>
            <w:r w:rsidRPr="00FA7CAE">
              <w:rPr>
                <w:rFonts w:asciiTheme="minorHAnsi" w:eastAsia="Times New Roman" w:hAnsiTheme="minorHAnsi" w:cstheme="minorHAnsi"/>
              </w:rPr>
              <w:t>ie</w:t>
            </w:r>
            <w:proofErr w:type="spellEnd"/>
            <w:proofErr w:type="gramEnd"/>
            <w:r w:rsidRPr="00FA7CAE">
              <w:rPr>
                <w:rFonts w:asciiTheme="minorHAnsi" w:eastAsia="Times New Roman" w:hAnsiTheme="minorHAnsi" w:cstheme="minorHAnsi"/>
              </w:rPr>
              <w:t xml:space="preserve"> health information) </w:t>
            </w:r>
          </w:p>
          <w:p w14:paraId="320B399F" w14:textId="77777777" w:rsidR="00A81650" w:rsidRPr="00FA7CAE" w:rsidRDefault="00A81650" w:rsidP="00D42D1C">
            <w:pPr>
              <w:widowControl/>
              <w:autoSpaceDE/>
              <w:autoSpaceDN/>
              <w:adjustRightInd/>
              <w:rPr>
                <w:rFonts w:asciiTheme="minorHAnsi" w:eastAsia="Times New Roman" w:hAnsiTheme="minorHAnsi" w:cstheme="minorHAnsi"/>
              </w:rPr>
            </w:pPr>
          </w:p>
          <w:p w14:paraId="73AE45D3" w14:textId="77777777" w:rsidR="00A81650" w:rsidRPr="00FA7CAE" w:rsidRDefault="00A81650" w:rsidP="00D42D1C">
            <w:pPr>
              <w:widowControl/>
              <w:shd w:val="clear" w:color="auto" w:fill="FFFFFF"/>
              <w:autoSpaceDE/>
              <w:autoSpaceDN/>
              <w:adjustRightInd/>
              <w:spacing w:after="120" w:line="360" w:lineRule="atLeast"/>
              <w:outlineLvl w:val="2"/>
              <w:rPr>
                <w:rFonts w:asciiTheme="minorHAnsi" w:eastAsia="Times New Roman" w:hAnsiTheme="minorHAnsi" w:cstheme="minorHAnsi"/>
                <w:bCs/>
              </w:rPr>
            </w:pPr>
          </w:p>
        </w:tc>
        <w:tc>
          <w:tcPr>
            <w:tcW w:w="6776" w:type="dxa"/>
          </w:tcPr>
          <w:p w14:paraId="7FB9B146" w14:textId="77777777" w:rsidR="00A81650" w:rsidRPr="00FA7CAE" w:rsidRDefault="00A81650" w:rsidP="00D42D1C">
            <w:pPr>
              <w:widowControl/>
              <w:autoSpaceDE/>
              <w:autoSpaceDN/>
              <w:adjustRightInd/>
              <w:rPr>
                <w:rFonts w:asciiTheme="minorHAnsi" w:eastAsia="Times New Roman" w:hAnsiTheme="minorHAnsi" w:cstheme="minorHAnsi"/>
                <w:bCs/>
              </w:rPr>
            </w:pPr>
            <w:r w:rsidRPr="00FA7CAE">
              <w:rPr>
                <w:rFonts w:asciiTheme="minorHAnsi" w:eastAsia="Times New Roman" w:hAnsiTheme="minorHAnsi" w:cstheme="minorHAnsi"/>
                <w:bCs/>
              </w:rPr>
              <w:t>The Data Protection Act 2018 provides in section 10 (via Schedule 1 part 2) that processing for health or social care for preventative or occupational medicine, medical diagnosis, provision of health care or treatment, provision of social care, and management of health/social care systems and services are suitable tasks for the use of the legal basis of GDPR Article 9(2) (h) – processing is necessary for purposes of</w:t>
            </w:r>
          </w:p>
          <w:p w14:paraId="11D2D3ED" w14:textId="77777777" w:rsidR="00A81650" w:rsidRPr="00FA7CAE" w:rsidRDefault="00A81650" w:rsidP="00D42D1C">
            <w:pPr>
              <w:widowControl/>
              <w:autoSpaceDE/>
              <w:autoSpaceDN/>
              <w:adjustRightInd/>
              <w:rPr>
                <w:rFonts w:asciiTheme="minorHAnsi" w:eastAsia="Times New Roman" w:hAnsiTheme="minorHAnsi" w:cstheme="minorHAnsi"/>
                <w:bCs/>
              </w:rPr>
            </w:pPr>
            <w:r w:rsidRPr="00FA7CAE">
              <w:rPr>
                <w:rFonts w:asciiTheme="minorHAnsi" w:eastAsia="Times New Roman" w:hAnsiTheme="minorHAnsi" w:cstheme="minorHAnsi"/>
                <w:bCs/>
              </w:rPr>
              <w:t>preventative or occupational medicine, medical diagnosis, the provision of health or social care treatment or the management of health or</w:t>
            </w:r>
          </w:p>
          <w:p w14:paraId="6018EA8F" w14:textId="1950CF36" w:rsidR="00A81650" w:rsidRPr="00FA7CAE" w:rsidRDefault="00A81650" w:rsidP="00D42D1C">
            <w:pPr>
              <w:widowControl/>
              <w:autoSpaceDE/>
              <w:autoSpaceDN/>
              <w:adjustRightInd/>
              <w:rPr>
                <w:rFonts w:asciiTheme="minorHAnsi" w:eastAsia="Times New Roman" w:hAnsiTheme="minorHAnsi" w:cstheme="minorHAnsi"/>
                <w:bCs/>
              </w:rPr>
            </w:pPr>
            <w:r w:rsidRPr="00FA7CAE">
              <w:rPr>
                <w:rFonts w:asciiTheme="minorHAnsi" w:eastAsia="Times New Roman" w:hAnsiTheme="minorHAnsi" w:cstheme="minorHAnsi"/>
                <w:bCs/>
              </w:rPr>
              <w:t>social care systems and services. The COPI notice provides specific authorisation for the sharing of all relevant health and care data.</w:t>
            </w:r>
          </w:p>
          <w:p w14:paraId="36EB6A62" w14:textId="77777777" w:rsidR="00A81650" w:rsidRPr="00FA7CAE" w:rsidRDefault="00A81650" w:rsidP="00D42D1C">
            <w:pPr>
              <w:widowControl/>
              <w:autoSpaceDE/>
              <w:autoSpaceDN/>
              <w:adjustRightInd/>
              <w:rPr>
                <w:rFonts w:asciiTheme="minorHAnsi" w:eastAsia="Times New Roman" w:hAnsiTheme="minorHAnsi" w:cstheme="minorHAnsi"/>
                <w:bCs/>
                <w:i/>
                <w:iCs/>
              </w:rPr>
            </w:pPr>
          </w:p>
        </w:tc>
      </w:tr>
    </w:tbl>
    <w:p w14:paraId="0B678CEB" w14:textId="77777777" w:rsidR="00A81650" w:rsidRPr="00FA7CAE" w:rsidRDefault="00A81650" w:rsidP="00A81650">
      <w:pPr>
        <w:widowControl/>
        <w:autoSpaceDE/>
        <w:autoSpaceDN/>
        <w:adjustRightInd/>
        <w:spacing w:after="160" w:line="259" w:lineRule="auto"/>
        <w:rPr>
          <w:rFonts w:asciiTheme="minorHAnsi" w:hAnsiTheme="minorHAnsi" w:cstheme="minorHAnsi"/>
        </w:rPr>
      </w:pPr>
    </w:p>
    <w:p w14:paraId="1E95C4C1" w14:textId="2DFB8189" w:rsidR="00A81650" w:rsidRPr="00FA7CAE" w:rsidRDefault="00A81650" w:rsidP="00A81650">
      <w:pPr>
        <w:widowControl/>
        <w:autoSpaceDE/>
        <w:autoSpaceDN/>
        <w:adjustRightInd/>
        <w:spacing w:after="160" w:line="259" w:lineRule="auto"/>
        <w:rPr>
          <w:rFonts w:asciiTheme="minorHAnsi" w:hAnsiTheme="minorHAnsi" w:cstheme="minorHAnsi"/>
        </w:rPr>
      </w:pPr>
      <w:bookmarkStart w:id="0" w:name="_Hlk58508486"/>
      <w:r w:rsidRPr="00FA7CAE">
        <w:rPr>
          <w:rFonts w:asciiTheme="minorHAnsi" w:hAnsiTheme="minorHAnsi" w:cstheme="minorHAnsi"/>
        </w:rPr>
        <w:t xml:space="preserve">The Data Protection obligations, as referenced in section 9.0 of the collaborating practices are covered in </w:t>
      </w:r>
      <w:bookmarkStart w:id="1" w:name="_Hlk58508463"/>
      <w:r w:rsidR="00FA7CAE" w:rsidRPr="00FA7CAE">
        <w:rPr>
          <w:rFonts w:asciiTheme="minorHAnsi" w:hAnsiTheme="minorHAnsi" w:cstheme="minorHAnsi"/>
          <w:highlight w:val="yellow"/>
        </w:rPr>
        <w:t>&lt;&lt;</w:t>
      </w:r>
      <w:r w:rsidRPr="00FA7CAE">
        <w:rPr>
          <w:rFonts w:asciiTheme="minorHAnsi" w:hAnsiTheme="minorHAnsi" w:cstheme="minorHAnsi"/>
          <w:highlight w:val="yellow"/>
        </w:rPr>
        <w:t xml:space="preserve">insert reference to </w:t>
      </w:r>
      <w:r w:rsidR="00A811B6" w:rsidRPr="00FA7CAE">
        <w:rPr>
          <w:rFonts w:asciiTheme="minorHAnsi" w:hAnsiTheme="minorHAnsi" w:cstheme="minorHAnsi"/>
          <w:highlight w:val="yellow"/>
        </w:rPr>
        <w:t xml:space="preserve">your </w:t>
      </w:r>
      <w:r w:rsidRPr="00FA7CAE">
        <w:rPr>
          <w:rFonts w:asciiTheme="minorHAnsi" w:hAnsiTheme="minorHAnsi" w:cstheme="minorHAnsi"/>
          <w:highlight w:val="yellow"/>
        </w:rPr>
        <w:t>existing PCN data sharing agreements/alternative data sharing agreements</w:t>
      </w:r>
      <w:r w:rsidR="00FA7CAE" w:rsidRPr="00FA7CAE">
        <w:rPr>
          <w:rFonts w:asciiTheme="minorHAnsi" w:hAnsiTheme="minorHAnsi" w:cstheme="minorHAnsi"/>
          <w:highlight w:val="yellow"/>
        </w:rPr>
        <w:t>&gt;&gt;</w:t>
      </w:r>
      <w:r w:rsidRPr="00FA7CAE">
        <w:rPr>
          <w:rFonts w:asciiTheme="minorHAnsi" w:hAnsiTheme="minorHAnsi" w:cstheme="minorHAnsi"/>
          <w:highlight w:val="yellow"/>
        </w:rPr>
        <w:t>.</w:t>
      </w:r>
      <w:r w:rsidRPr="00FA7CAE">
        <w:rPr>
          <w:rFonts w:asciiTheme="minorHAnsi" w:hAnsiTheme="minorHAnsi" w:cstheme="minorHAnsi"/>
        </w:rPr>
        <w:t xml:space="preserve"> </w:t>
      </w:r>
      <w:bookmarkEnd w:id="1"/>
    </w:p>
    <w:bookmarkEnd w:id="0"/>
    <w:p w14:paraId="72A9D680" w14:textId="77777777" w:rsidR="00A81650" w:rsidRPr="00FA7CAE" w:rsidRDefault="00A81650" w:rsidP="00A81650">
      <w:pPr>
        <w:rPr>
          <w:rFonts w:asciiTheme="minorHAnsi" w:hAnsiTheme="minorHAnsi" w:cstheme="minorHAnsi"/>
          <w:b/>
          <w:bCs/>
        </w:rPr>
      </w:pPr>
    </w:p>
    <w:p w14:paraId="7896D882" w14:textId="7F938C1B" w:rsidR="00A81650" w:rsidRPr="00FA7CAE" w:rsidRDefault="00A81650" w:rsidP="00A81650">
      <w:pPr>
        <w:rPr>
          <w:rFonts w:asciiTheme="minorHAnsi" w:hAnsiTheme="minorHAnsi" w:cstheme="minorHAnsi"/>
        </w:rPr>
      </w:pPr>
      <w:r w:rsidRPr="00FA7CAE">
        <w:rPr>
          <w:rFonts w:asciiTheme="minorHAnsi" w:hAnsiTheme="minorHAnsi" w:cstheme="minorHAnsi"/>
          <w:b/>
          <w:bCs/>
        </w:rPr>
        <w:t>Guidance Note:</w:t>
      </w:r>
      <w:r w:rsidRPr="00FA7CAE">
        <w:rPr>
          <w:rFonts w:asciiTheme="minorHAnsi" w:hAnsiTheme="minorHAnsi" w:cstheme="minorHAnsi"/>
        </w:rPr>
        <w:t xml:space="preserve"> The initial legal basis for processing data as part of the </w:t>
      </w:r>
      <w:r w:rsidR="00260234" w:rsidRPr="00FA7CAE">
        <w:rPr>
          <w:rFonts w:asciiTheme="minorHAnsi" w:hAnsiTheme="minorHAnsi" w:cstheme="minorHAnsi"/>
        </w:rPr>
        <w:t>C</w:t>
      </w:r>
      <w:r w:rsidRPr="00FA7CAE">
        <w:rPr>
          <w:rFonts w:asciiTheme="minorHAnsi" w:hAnsiTheme="minorHAnsi" w:cstheme="minorHAnsi"/>
        </w:rPr>
        <w:t>ollaborati</w:t>
      </w:r>
      <w:r w:rsidR="00260234" w:rsidRPr="00FA7CAE">
        <w:rPr>
          <w:rFonts w:asciiTheme="minorHAnsi" w:hAnsiTheme="minorHAnsi" w:cstheme="minorHAnsi"/>
        </w:rPr>
        <w:t>on</w:t>
      </w:r>
      <w:r w:rsidRPr="00FA7CAE">
        <w:rPr>
          <w:rFonts w:asciiTheme="minorHAnsi" w:hAnsiTheme="minorHAnsi" w:cstheme="minorHAnsi"/>
        </w:rPr>
        <w:t xml:space="preserve"> </w:t>
      </w:r>
      <w:r w:rsidR="00260234" w:rsidRPr="00FA7CAE">
        <w:rPr>
          <w:rFonts w:asciiTheme="minorHAnsi" w:hAnsiTheme="minorHAnsi" w:cstheme="minorHAnsi"/>
        </w:rPr>
        <w:t>A</w:t>
      </w:r>
      <w:r w:rsidRPr="00FA7CAE">
        <w:rPr>
          <w:rFonts w:asciiTheme="minorHAnsi" w:hAnsiTheme="minorHAnsi" w:cstheme="minorHAnsi"/>
        </w:rPr>
        <w:t xml:space="preserve">greement is the COPI notice until 31 March 2021 (unless extended). When the COPI notice expires, an alternative legal basis will be required to process data and </w:t>
      </w:r>
      <w:r w:rsidR="00260234" w:rsidRPr="00FA7CAE">
        <w:rPr>
          <w:rFonts w:asciiTheme="minorHAnsi" w:hAnsiTheme="minorHAnsi" w:cstheme="minorHAnsi"/>
        </w:rPr>
        <w:t>p</w:t>
      </w:r>
      <w:r w:rsidRPr="00FA7CAE">
        <w:rPr>
          <w:rFonts w:asciiTheme="minorHAnsi" w:hAnsiTheme="minorHAnsi" w:cstheme="minorHAnsi"/>
        </w:rPr>
        <w:t xml:space="preserve">ractices are advised to consult with their DPO or the DPO provided for GP </w:t>
      </w:r>
      <w:r w:rsidR="00260234" w:rsidRPr="00FA7CAE">
        <w:rPr>
          <w:rFonts w:asciiTheme="minorHAnsi" w:hAnsiTheme="minorHAnsi" w:cstheme="minorHAnsi"/>
        </w:rPr>
        <w:t>p</w:t>
      </w:r>
      <w:r w:rsidRPr="00FA7CAE">
        <w:rPr>
          <w:rFonts w:asciiTheme="minorHAnsi" w:hAnsiTheme="minorHAnsi" w:cstheme="minorHAnsi"/>
        </w:rPr>
        <w:t xml:space="preserve">ractices to see if they can amend an existing PCN data sharing agreement to accommodate this sharing or if they need to draft a new one with the legal basis for after the COPI notice ends. Either the amended existing PCN data sharing agreement or an alternative data sharing agreement will need to be included in this agreement before the 31 March 2021 (unless the notice is extended) as an amendment </w:t>
      </w:r>
      <w:r w:rsidRPr="00FA7CAE">
        <w:rPr>
          <w:rFonts w:asciiTheme="minorHAnsi" w:hAnsiTheme="minorHAnsi" w:cstheme="minorHAnsi"/>
        </w:rPr>
        <w:lastRenderedPageBreak/>
        <w:t xml:space="preserve">to the agreement. </w:t>
      </w:r>
    </w:p>
    <w:p w14:paraId="4DFCD9F4" w14:textId="77777777" w:rsidR="00A81650" w:rsidRPr="00FA7CAE" w:rsidRDefault="00A81650" w:rsidP="00A81650">
      <w:pPr>
        <w:rPr>
          <w:rFonts w:asciiTheme="minorHAnsi" w:hAnsiTheme="minorHAnsi" w:cstheme="minorHAnsi"/>
        </w:rPr>
      </w:pPr>
    </w:p>
    <w:p w14:paraId="24407503" w14:textId="1C470A2B" w:rsidR="00996433" w:rsidRPr="00FA7CAE" w:rsidRDefault="00A81650">
      <w:pPr>
        <w:rPr>
          <w:rFonts w:asciiTheme="minorHAnsi" w:hAnsiTheme="minorHAnsi" w:cstheme="minorHAnsi"/>
        </w:rPr>
      </w:pPr>
      <w:r w:rsidRPr="00FA7CAE">
        <w:rPr>
          <w:rFonts w:asciiTheme="minorHAnsi" w:hAnsiTheme="minorHAnsi" w:cstheme="minorHAnsi"/>
        </w:rPr>
        <w:t>Practices who have signed the Collaborati</w:t>
      </w:r>
      <w:r w:rsidR="00260234" w:rsidRPr="00FA7CAE">
        <w:rPr>
          <w:rFonts w:asciiTheme="minorHAnsi" w:hAnsiTheme="minorHAnsi" w:cstheme="minorHAnsi"/>
        </w:rPr>
        <w:t>on</w:t>
      </w:r>
      <w:r w:rsidRPr="00FA7CAE">
        <w:rPr>
          <w:rFonts w:asciiTheme="minorHAnsi" w:hAnsiTheme="minorHAnsi" w:cstheme="minorHAnsi"/>
        </w:rPr>
        <w:t xml:space="preserve"> Agreement will need to check that their practice privacy policy/notice references sharing for C</w:t>
      </w:r>
      <w:r w:rsidR="00260234" w:rsidRPr="00FA7CAE">
        <w:rPr>
          <w:rFonts w:asciiTheme="minorHAnsi" w:hAnsiTheme="minorHAnsi" w:cstheme="minorHAnsi"/>
        </w:rPr>
        <w:t>ovid</w:t>
      </w:r>
      <w:r w:rsidRPr="00FA7CAE">
        <w:rPr>
          <w:rFonts w:asciiTheme="minorHAnsi" w:hAnsiTheme="minorHAnsi" w:cstheme="minorHAnsi"/>
        </w:rPr>
        <w:t xml:space="preserve">-19 purposes, and if it </w:t>
      </w:r>
      <w:proofErr w:type="gramStart"/>
      <w:r w:rsidRPr="00FA7CAE">
        <w:rPr>
          <w:rFonts w:asciiTheme="minorHAnsi" w:hAnsiTheme="minorHAnsi" w:cstheme="minorHAnsi"/>
        </w:rPr>
        <w:t>doesn’t</w:t>
      </w:r>
      <w:proofErr w:type="gramEnd"/>
      <w:r w:rsidRPr="00FA7CAE">
        <w:rPr>
          <w:rFonts w:asciiTheme="minorHAnsi" w:hAnsiTheme="minorHAnsi" w:cstheme="minorHAnsi"/>
        </w:rPr>
        <w:t xml:space="preserve">, they will need to add a section on this.  NHSX have produced an </w:t>
      </w:r>
      <w:hyperlink r:id="rId7" w:history="1">
        <w:r w:rsidRPr="00FA7CAE">
          <w:rPr>
            <w:rStyle w:val="Hyperlink"/>
            <w:rFonts w:asciiTheme="minorHAnsi" w:hAnsiTheme="minorHAnsi" w:cstheme="minorHAnsi"/>
          </w:rPr>
          <w:t xml:space="preserve">Example Supplementary Privacy Notice on COVID-19 for Patients/Service Users </w:t>
        </w:r>
      </w:hyperlink>
      <w:r w:rsidRPr="00FA7CAE">
        <w:rPr>
          <w:rFonts w:asciiTheme="minorHAnsi" w:hAnsiTheme="minorHAnsi" w:cstheme="minorHAnsi"/>
        </w:rPr>
        <w:t>, which could be used.  Practices will also need to add the new processing to their Record of Processing Activities (ROPA).</w:t>
      </w:r>
    </w:p>
    <w:sectPr w:rsidR="00996433" w:rsidRPr="00FA7CAE" w:rsidSect="00034040">
      <w:pgSz w:w="11910" w:h="16840"/>
      <w:pgMar w:top="1440" w:right="1440" w:bottom="1440" w:left="1440" w:header="735" w:footer="0" w:gutter="0"/>
      <w:cols w:space="720" w:equalWidth="0">
        <w:col w:w="9130"/>
      </w:cols>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B2AFE"/>
    <w:multiLevelType w:val="hybridMultilevel"/>
    <w:tmpl w:val="1F2E8C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D5B7C"/>
    <w:multiLevelType w:val="hybridMultilevel"/>
    <w:tmpl w:val="66DC7E0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0324AC6"/>
    <w:multiLevelType w:val="hybridMultilevel"/>
    <w:tmpl w:val="B38EC3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719EF"/>
    <w:multiLevelType w:val="hybridMultilevel"/>
    <w:tmpl w:val="3A2C24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F17F2"/>
    <w:multiLevelType w:val="multilevel"/>
    <w:tmpl w:val="731A401A"/>
    <w:numStyleLink w:val="NumbListLegal"/>
  </w:abstractNum>
  <w:abstractNum w:abstractNumId="5" w15:restartNumberingAfterBreak="0">
    <w:nsid w:val="65B1131F"/>
    <w:multiLevelType w:val="multilevel"/>
    <w:tmpl w:val="731A401A"/>
    <w:styleLink w:val="NumbListLegal"/>
    <w:lvl w:ilvl="0">
      <w:start w:val="1"/>
      <w:numFmt w:val="decimal"/>
      <w:pStyle w:val="Level1Number"/>
      <w:lvlText w:val="%1"/>
      <w:lvlJc w:val="left"/>
      <w:pPr>
        <w:tabs>
          <w:tab w:val="num" w:pos="851"/>
        </w:tabs>
        <w:ind w:left="851" w:hanging="851"/>
      </w:pPr>
      <w:rPr>
        <w:rFonts w:hint="default"/>
      </w:rPr>
    </w:lvl>
    <w:lvl w:ilvl="1">
      <w:start w:val="1"/>
      <w:numFmt w:val="decimal"/>
      <w:pStyle w:val="Level2Number"/>
      <w:lvlText w:val="%1.%2"/>
      <w:lvlJc w:val="left"/>
      <w:pPr>
        <w:tabs>
          <w:tab w:val="num" w:pos="851"/>
        </w:tabs>
        <w:ind w:left="851" w:hanging="851"/>
      </w:pPr>
      <w:rPr>
        <w:rFonts w:hint="default"/>
      </w:rPr>
    </w:lvl>
    <w:lvl w:ilvl="2">
      <w:start w:val="1"/>
      <w:numFmt w:val="decimal"/>
      <w:pStyle w:val="Level3Number"/>
      <w:lvlText w:val="%1.%2.%3"/>
      <w:lvlJc w:val="left"/>
      <w:pPr>
        <w:tabs>
          <w:tab w:val="num" w:pos="1701"/>
        </w:tabs>
        <w:ind w:left="1701" w:hanging="850"/>
      </w:pPr>
      <w:rPr>
        <w:rFonts w:hint="default"/>
      </w:rPr>
    </w:lvl>
    <w:lvl w:ilvl="3">
      <w:start w:val="1"/>
      <w:numFmt w:val="lowerLetter"/>
      <w:pStyle w:val="Level4Number"/>
      <w:lvlText w:val="(%4)"/>
      <w:lvlJc w:val="left"/>
      <w:pPr>
        <w:tabs>
          <w:tab w:val="num" w:pos="2552"/>
        </w:tabs>
        <w:ind w:left="2552" w:hanging="851"/>
      </w:pPr>
      <w:rPr>
        <w:rFonts w:hint="default"/>
      </w:rPr>
    </w:lvl>
    <w:lvl w:ilvl="4">
      <w:start w:val="1"/>
      <w:numFmt w:val="lowerRoman"/>
      <w:pStyle w:val="Level5Number"/>
      <w:lvlText w:val="(%5)"/>
      <w:lvlJc w:val="left"/>
      <w:pPr>
        <w:tabs>
          <w:tab w:val="num" w:pos="3402"/>
        </w:tabs>
        <w:ind w:left="3402" w:hanging="850"/>
      </w:pPr>
      <w:rPr>
        <w:rFonts w:hint="default"/>
      </w:rPr>
    </w:lvl>
    <w:lvl w:ilvl="5">
      <w:start w:val="1"/>
      <w:numFmt w:val="upperLetter"/>
      <w:pStyle w:val="Level6Number"/>
      <w:lvlText w:val="(%6)"/>
      <w:lvlJc w:val="left"/>
      <w:pPr>
        <w:tabs>
          <w:tab w:val="num" w:pos="4253"/>
        </w:tabs>
        <w:ind w:left="4253" w:hanging="851"/>
      </w:pPr>
      <w:rPr>
        <w:rFonts w:hint="default"/>
      </w:rPr>
    </w:lvl>
    <w:lvl w:ilvl="6">
      <w:start w:val="1"/>
      <w:numFmt w:val="upperRoman"/>
      <w:pStyle w:val="Level7Number"/>
      <w:lvlText w:val="(%7)"/>
      <w:lvlJc w:val="left"/>
      <w:pPr>
        <w:tabs>
          <w:tab w:val="num" w:pos="5103"/>
        </w:tabs>
        <w:ind w:left="5103" w:hanging="850"/>
      </w:pPr>
      <w:rPr>
        <w:rFonts w:hint="default"/>
      </w:rPr>
    </w:lvl>
    <w:lvl w:ilvl="7">
      <w:start w:val="1"/>
      <w:numFmt w:val="decimal"/>
      <w:pStyle w:val="Level8Number"/>
      <w:lvlText w:val="(%8)"/>
      <w:lvlJc w:val="left"/>
      <w:pPr>
        <w:tabs>
          <w:tab w:val="num" w:pos="5954"/>
        </w:tabs>
        <w:ind w:left="5954" w:hanging="851"/>
      </w:pPr>
      <w:rPr>
        <w:rFonts w:hint="default"/>
      </w:rPr>
    </w:lvl>
    <w:lvl w:ilvl="8">
      <w:start w:val="1"/>
      <w:numFmt w:val="ordinal"/>
      <w:pStyle w:val="Level9Number"/>
      <w:lvlText w:val="(%9.)"/>
      <w:lvlJc w:val="left"/>
      <w:pPr>
        <w:tabs>
          <w:tab w:val="num" w:pos="6804"/>
        </w:tabs>
        <w:ind w:left="6804" w:hanging="850"/>
      </w:pPr>
      <w:rPr>
        <w:rFonts w:hint="default"/>
      </w:rPr>
    </w:lvl>
  </w:abstractNum>
  <w:num w:numId="1">
    <w:abstractNumId w:val="5"/>
  </w:num>
  <w:num w:numId="2">
    <w:abstractNumId w:val="4"/>
    <w:lvlOverride w:ilvl="0">
      <w:lvl w:ilvl="0">
        <w:numFmt w:val="decimal"/>
        <w:pStyle w:val="Level1Number"/>
        <w:lvlText w:val=""/>
        <w:lvlJc w:val="left"/>
      </w:lvl>
    </w:lvlOverride>
    <w:lvlOverride w:ilvl="1">
      <w:lvl w:ilvl="1">
        <w:start w:val="1"/>
        <w:numFmt w:val="decimal"/>
        <w:pStyle w:val="Level2Number"/>
        <w:lvlText w:val="%1.%2"/>
        <w:lvlJc w:val="left"/>
        <w:pPr>
          <w:tabs>
            <w:tab w:val="num" w:pos="851"/>
          </w:tabs>
          <w:ind w:left="851" w:hanging="851"/>
        </w:pPr>
        <w:rPr>
          <w:rFonts w:hint="default"/>
          <w:b w:val="0"/>
        </w:rPr>
      </w:lvl>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ED"/>
    <w:rsid w:val="000030ED"/>
    <w:rsid w:val="000C4F51"/>
    <w:rsid w:val="001248C3"/>
    <w:rsid w:val="00260234"/>
    <w:rsid w:val="00317BC8"/>
    <w:rsid w:val="004D6BD5"/>
    <w:rsid w:val="004D7362"/>
    <w:rsid w:val="005215DC"/>
    <w:rsid w:val="005403C8"/>
    <w:rsid w:val="005D0DC7"/>
    <w:rsid w:val="00740DEF"/>
    <w:rsid w:val="00894DBC"/>
    <w:rsid w:val="00996433"/>
    <w:rsid w:val="00A811B6"/>
    <w:rsid w:val="00A81650"/>
    <w:rsid w:val="00AE1A56"/>
    <w:rsid w:val="00AF2F7C"/>
    <w:rsid w:val="00DD1D30"/>
    <w:rsid w:val="00E65EA8"/>
    <w:rsid w:val="00F33CB6"/>
    <w:rsid w:val="00F35981"/>
    <w:rsid w:val="00FA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96E5A"/>
  <w15:chartTrackingRefBased/>
  <w15:docId w15:val="{59450275-C650-4BA9-B6A1-35468329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30ED"/>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0030ED"/>
    <w:rPr>
      <w:sz w:val="16"/>
      <w:szCs w:val="16"/>
    </w:rPr>
  </w:style>
  <w:style w:type="paragraph" w:styleId="CommentText">
    <w:name w:val="annotation text"/>
    <w:basedOn w:val="Normal"/>
    <w:link w:val="CommentTextChar"/>
    <w:uiPriority w:val="99"/>
    <w:unhideWhenUsed/>
    <w:rsid w:val="000030ED"/>
    <w:rPr>
      <w:sz w:val="20"/>
      <w:szCs w:val="20"/>
    </w:rPr>
  </w:style>
  <w:style w:type="character" w:customStyle="1" w:styleId="CommentTextChar">
    <w:name w:val="Comment Text Char"/>
    <w:basedOn w:val="DefaultParagraphFont"/>
    <w:link w:val="CommentText"/>
    <w:uiPriority w:val="99"/>
    <w:rsid w:val="000030ED"/>
    <w:rPr>
      <w:rFonts w:ascii="Times New Roman" w:eastAsiaTheme="minorEastAsia" w:hAnsi="Times New Roman" w:cs="Times New Roman"/>
      <w:sz w:val="20"/>
      <w:szCs w:val="20"/>
      <w:lang w:eastAsia="en-GB"/>
    </w:rPr>
  </w:style>
  <w:style w:type="paragraph" w:customStyle="1" w:styleId="Level1Number">
    <w:name w:val="Level 1 Number"/>
    <w:aliases w:val="Block paragraph 1 CB,Block Para 1 RB"/>
    <w:basedOn w:val="Normal"/>
    <w:uiPriority w:val="5"/>
    <w:qFormat/>
    <w:rsid w:val="000030ED"/>
    <w:pPr>
      <w:widowControl/>
      <w:numPr>
        <w:numId w:val="2"/>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2Number">
    <w:name w:val="Level 2 Number"/>
    <w:aliases w:val="Paragraph 1.1,Block paragraph 1.1,Block paragraph 1.1 CB,Report Para 1.1 RB,Block Para 1.1 RB"/>
    <w:basedOn w:val="Normal"/>
    <w:uiPriority w:val="5"/>
    <w:qFormat/>
    <w:rsid w:val="000030ED"/>
    <w:pPr>
      <w:widowControl/>
      <w:numPr>
        <w:ilvl w:val="1"/>
        <w:numId w:val="2"/>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3Number">
    <w:name w:val="Level 3 Number"/>
    <w:aliases w:val="Paragraph 1.1.1,Block paragraph 1.1.1,Block paragraph 1.1.1 CB,Report Para 1.1.1 RB,Block Para 1.1.1 RB"/>
    <w:basedOn w:val="Normal"/>
    <w:uiPriority w:val="5"/>
    <w:qFormat/>
    <w:rsid w:val="000030ED"/>
    <w:pPr>
      <w:widowControl/>
      <w:numPr>
        <w:ilvl w:val="2"/>
        <w:numId w:val="2"/>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4Number">
    <w:name w:val="Level 4 Number"/>
    <w:aliases w:val="Paragraph 1.1.1(a),Block paragraph 1.1.1(a),Block paragraph 1.1.1(a) CB,Report Para 1.1.1(a) RB,Block Para 1.1.1(a) RB"/>
    <w:basedOn w:val="Normal"/>
    <w:uiPriority w:val="5"/>
    <w:qFormat/>
    <w:rsid w:val="000030ED"/>
    <w:pPr>
      <w:widowControl/>
      <w:numPr>
        <w:ilvl w:val="3"/>
        <w:numId w:val="2"/>
      </w:numPr>
      <w:autoSpaceDE/>
      <w:autoSpaceDN/>
      <w:adjustRightInd/>
      <w:spacing w:after="240" w:line="300" w:lineRule="auto"/>
      <w:jc w:val="both"/>
    </w:pPr>
    <w:rPr>
      <w:rFonts w:ascii="Arial" w:eastAsiaTheme="minorHAnsi" w:hAnsi="Arial" w:cstheme="minorBidi"/>
      <w:noProof/>
      <w:szCs w:val="20"/>
    </w:rPr>
  </w:style>
  <w:style w:type="paragraph" w:customStyle="1" w:styleId="Level5Number">
    <w:name w:val="Level 5 Number"/>
    <w:aliases w:val="Paragraph 1.1.1(a)(i),Block paragraph 1.1.1(a)(i),Report Para 1.1.1(a)(i) RB,Block Para 1.1.1(a)(i) RB"/>
    <w:basedOn w:val="Normal"/>
    <w:uiPriority w:val="5"/>
    <w:qFormat/>
    <w:rsid w:val="000030ED"/>
    <w:pPr>
      <w:widowControl/>
      <w:numPr>
        <w:ilvl w:val="4"/>
        <w:numId w:val="2"/>
      </w:numPr>
      <w:autoSpaceDE/>
      <w:autoSpaceDN/>
      <w:adjustRightInd/>
      <w:spacing w:after="240" w:line="300" w:lineRule="auto"/>
      <w:jc w:val="both"/>
    </w:pPr>
    <w:rPr>
      <w:rFonts w:ascii="Arial" w:eastAsiaTheme="minorHAnsi" w:hAnsi="Arial" w:cstheme="minorBidi"/>
      <w:noProof/>
      <w:szCs w:val="20"/>
      <w:lang w:eastAsia="en-US"/>
    </w:rPr>
  </w:style>
  <w:style w:type="paragraph" w:customStyle="1" w:styleId="Level6Number">
    <w:name w:val="Level 6 Number"/>
    <w:aliases w:val="Paragraph 1.1.1(a)(i)(A),Block paragraph 1.1.1(a)(i)(A),Report Para 1.1.1(a)(i)(A) RB,Block Para 1.1.1(a)(i)(A) RB"/>
    <w:basedOn w:val="Normal"/>
    <w:uiPriority w:val="5"/>
    <w:qFormat/>
    <w:rsid w:val="000030ED"/>
    <w:pPr>
      <w:widowControl/>
      <w:numPr>
        <w:ilvl w:val="5"/>
        <w:numId w:val="2"/>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7Number">
    <w:name w:val="Level 7 Number"/>
    <w:basedOn w:val="Normal"/>
    <w:uiPriority w:val="49"/>
    <w:qFormat/>
    <w:rsid w:val="000030ED"/>
    <w:pPr>
      <w:widowControl/>
      <w:numPr>
        <w:ilvl w:val="6"/>
        <w:numId w:val="2"/>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8Number">
    <w:name w:val="Level 8 Number"/>
    <w:basedOn w:val="Normal"/>
    <w:uiPriority w:val="49"/>
    <w:qFormat/>
    <w:rsid w:val="000030ED"/>
    <w:pPr>
      <w:widowControl/>
      <w:numPr>
        <w:ilvl w:val="7"/>
        <w:numId w:val="2"/>
      </w:numPr>
      <w:autoSpaceDE/>
      <w:autoSpaceDN/>
      <w:adjustRightInd/>
      <w:spacing w:after="240" w:line="300" w:lineRule="auto"/>
      <w:jc w:val="both"/>
    </w:pPr>
    <w:rPr>
      <w:rFonts w:ascii="Arial" w:eastAsiaTheme="minorHAnsi" w:hAnsi="Arial" w:cstheme="minorBidi"/>
      <w:szCs w:val="20"/>
      <w:lang w:eastAsia="en-US"/>
    </w:rPr>
  </w:style>
  <w:style w:type="paragraph" w:customStyle="1" w:styleId="Level9Number">
    <w:name w:val="Level 9 Number"/>
    <w:basedOn w:val="Normal"/>
    <w:uiPriority w:val="49"/>
    <w:qFormat/>
    <w:rsid w:val="000030ED"/>
    <w:pPr>
      <w:widowControl/>
      <w:numPr>
        <w:ilvl w:val="8"/>
        <w:numId w:val="2"/>
      </w:numPr>
      <w:autoSpaceDE/>
      <w:autoSpaceDN/>
      <w:adjustRightInd/>
      <w:spacing w:after="240" w:line="300" w:lineRule="auto"/>
      <w:jc w:val="both"/>
    </w:pPr>
    <w:rPr>
      <w:rFonts w:ascii="Arial" w:eastAsiaTheme="minorHAnsi" w:hAnsi="Arial" w:cstheme="minorBidi"/>
      <w:szCs w:val="20"/>
      <w:lang w:eastAsia="en-US"/>
    </w:rPr>
  </w:style>
  <w:style w:type="numbering" w:customStyle="1" w:styleId="NumbListLegal">
    <w:name w:val="NumbList Legal"/>
    <w:uiPriority w:val="99"/>
    <w:rsid w:val="000030ED"/>
    <w:pPr>
      <w:numPr>
        <w:numId w:val="1"/>
      </w:numPr>
    </w:pPr>
  </w:style>
  <w:style w:type="paragraph" w:styleId="BalloonText">
    <w:name w:val="Balloon Text"/>
    <w:basedOn w:val="Normal"/>
    <w:link w:val="BalloonTextChar"/>
    <w:uiPriority w:val="99"/>
    <w:semiHidden/>
    <w:unhideWhenUsed/>
    <w:rsid w:val="000030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0ED"/>
    <w:rPr>
      <w:rFonts w:ascii="Segoe UI" w:eastAsiaTheme="minorEastAsia" w:hAnsi="Segoe UI" w:cs="Segoe UI"/>
      <w:sz w:val="18"/>
      <w:szCs w:val="18"/>
      <w:lang w:eastAsia="en-GB"/>
    </w:rPr>
  </w:style>
  <w:style w:type="paragraph" w:styleId="ListParagraph">
    <w:name w:val="List Paragraph"/>
    <w:basedOn w:val="Normal"/>
    <w:uiPriority w:val="34"/>
    <w:qFormat/>
    <w:rsid w:val="000030ED"/>
    <w:pPr>
      <w:ind w:left="720"/>
      <w:contextualSpacing/>
    </w:pPr>
  </w:style>
  <w:style w:type="character" w:styleId="Hyperlink">
    <w:name w:val="Hyperlink"/>
    <w:basedOn w:val="DefaultParagraphFont"/>
    <w:uiPriority w:val="99"/>
    <w:unhideWhenUsed/>
    <w:rsid w:val="00A81650"/>
    <w:rPr>
      <w:color w:val="0563C1"/>
      <w:u w:val="single"/>
    </w:rPr>
  </w:style>
  <w:style w:type="paragraph" w:styleId="CommentSubject">
    <w:name w:val="annotation subject"/>
    <w:basedOn w:val="CommentText"/>
    <w:next w:val="CommentText"/>
    <w:link w:val="CommentSubjectChar"/>
    <w:uiPriority w:val="99"/>
    <w:semiHidden/>
    <w:unhideWhenUsed/>
    <w:rsid w:val="00F33CB6"/>
    <w:rPr>
      <w:b/>
      <w:bCs/>
    </w:rPr>
  </w:style>
  <w:style w:type="character" w:customStyle="1" w:styleId="CommentSubjectChar">
    <w:name w:val="Comment Subject Char"/>
    <w:basedOn w:val="CommentTextChar"/>
    <w:link w:val="CommentSubject"/>
    <w:uiPriority w:val="99"/>
    <w:semiHidden/>
    <w:rsid w:val="00F33CB6"/>
    <w:rPr>
      <w:rFonts w:ascii="Times New Roman" w:eastAsiaTheme="minorEastAsia" w:hAnsi="Times New Roman" w:cs="Times New Roman"/>
      <w:b/>
      <w:bCs/>
      <w:sz w:val="20"/>
      <w:szCs w:val="20"/>
      <w:lang w:eastAsia="en-GB"/>
    </w:rPr>
  </w:style>
  <w:style w:type="character" w:styleId="UnresolvedMention">
    <w:name w:val="Unresolved Mention"/>
    <w:basedOn w:val="DefaultParagraphFont"/>
    <w:uiPriority w:val="99"/>
    <w:semiHidden/>
    <w:unhideWhenUsed/>
    <w:rsid w:val="00540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hsx.nhs.uk/information-governance/guidance/example-supplementary-privacy-note-covid-19-patientsservice-us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genera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7A48-8BB5-425D-8C54-3C795338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Singer</dc:creator>
  <cp:keywords/>
  <dc:description/>
  <cp:lastModifiedBy>Alex Orton</cp:lastModifiedBy>
  <cp:revision>2</cp:revision>
  <dcterms:created xsi:type="dcterms:W3CDTF">2020-12-10T17:17:00Z</dcterms:created>
  <dcterms:modified xsi:type="dcterms:W3CDTF">2020-12-10T17:17:00Z</dcterms:modified>
</cp:coreProperties>
</file>